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游ゴシック" w:eastAsia="游ゴシック" w:hAnsi="游ゴシック"/>
          <w:b/>
          <w:bCs/>
          <w:color w:val="0E1726"/>
          <w:sz w:val="34"/>
          <w:szCs w:val="34"/>
        </w:rPr>
        <w:t xml:space="preserve">生成AI利用ガイドライン</w:t>
      </w:r>
    </w:p>
    <w:p>
      <w:pPr>
        <w:spacing w:after="160"/>
        <w:jc w:val="center"/>
      </w:pPr>
      <w:r>
        <w:rPr>
          <w:rFonts w:ascii="游ゴシック" w:eastAsia="游ゴシック" w:hAnsi="游ゴシック"/>
          <w:color w:val="5F6C83"/>
          <w:sz w:val="22"/>
          <w:szCs w:val="22"/>
        </w:rPr>
        <w:t xml:space="preserve">【株式会社◯◯】</w:t>
      </w:r>
    </w:p>
    <w:p>
      <w:pPr>
        <w:jc w:val="right"/>
      </w:pPr>
      <w:r>
        <w:rPr>
          <w:rFonts w:ascii="游ゴシック" w:eastAsia="游ゴシック" w:hAnsi="游ゴシック"/>
          <w:color w:val="5F6C83"/>
          <w:sz w:val="19"/>
          <w:szCs w:val="19"/>
        </w:rPr>
        <w:t xml:space="preserve">制定日:【2026年◯月◯日】</w:t>
      </w:r>
    </w:p>
    <w:p>
      <w:pPr>
        <w:jc w:val="right"/>
      </w:pPr>
      <w:r>
        <w:rPr>
          <w:rFonts w:ascii="游ゴシック" w:eastAsia="游ゴシック" w:hAnsi="游ゴシック"/>
          <w:color w:val="5F6C83"/>
          <w:sz w:val="19"/>
          <w:szCs w:val="19"/>
        </w:rPr>
        <w:t xml:space="preserve">管理部署:【情報システム担当】</w:t>
      </w:r>
    </w:p>
    <w:p>
      <w:pPr>
        <w:jc w:val="right"/>
      </w:pPr>
      <w:r>
        <w:rPr>
          <w:rFonts w:ascii="游ゴシック" w:eastAsia="游ゴシック" w:hAnsi="游ゴシック"/>
          <w:color w:val="5F6C83"/>
          <w:sz w:val="19"/>
          <w:szCs w:val="19"/>
        </w:rPr>
        <w:t xml:space="preserve">見直し:【毎年◯月と◯月】</w:t>
      </w:r>
    </w:p>
    <w:p>
      <w:pPr>
        <w:pBdr>
          <w:bottom w:val="single" w:color="2352DC" w:sz="12" w:space="4"/>
        </w:pBdr>
        <w:spacing w:after="120"/>
      </w:pPr>
    </w:p>
    <w:p>
      <w:pPr>
        <w:pStyle w:val="Heading1"/>
      </w:pPr>
      <w:r>
        <w:rPr>
          <w:rFonts w:ascii="游ゴシック" w:eastAsia="游ゴシック" w:hAnsi="游ゴシック"/>
        </w:rPr>
        <w:t xml:space="preserve">第1条 目的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このガイドラインは、生成AIを業務で安全に活用し、情報の漏えいや他人の権利の侵害を防ぐため、使ってよいサービスと守ることを定める。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第2条 対象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このガイドラインは、次の人が業務で生成AIを使うときに適用する。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役員、従業員、契約社員、パート・アルバイト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派遣社員、当社で業務を行う委託先の人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文章、画像、音声、プログラムを作るサービスのほか、メール、会議、検索、翻訳などのソフトに組み込まれた生成AIの機能も対象とする。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第3条 用語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0"/>
        <w:gridCol w:w="6750"/>
      </w:tblGrid>
      <w:tr>
        <w:trPr>
          <w:tblHeader/>
        </w:trPr>
        <w:tc>
          <w:tcPr>
            <w:tcW w:type="dxa" w:w="22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用語</w:t>
            </w:r>
          </w:p>
        </w:tc>
        <w:tc>
          <w:tcPr>
            <w:tcW w:type="dxa" w:w="67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意味</w:t>
            </w:r>
          </w:p>
        </w:tc>
      </w:tr>
      <w:tr>
        <w:trPr>
          <w:tblHeader w:val="off"/>
        </w:trPr>
        <w:tc>
          <w:tcPr>
            <w:tcW w:type="dxa" w:w="22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生成AI</w:t>
            </w:r>
          </w:p>
        </w:tc>
        <w:tc>
          <w:tcPr>
            <w:tcW w:type="dxa" w:w="67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指示に応じて、文章、画像、音声、プログラムなどを作るAI</w:t>
            </w:r>
          </w:p>
        </w:tc>
      </w:tr>
      <w:tr>
        <w:trPr>
          <w:tblHeader w:val="off"/>
        </w:trPr>
        <w:tc>
          <w:tcPr>
            <w:tcW w:type="dxa" w:w="22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指示文</w:t>
            </w:r>
          </w:p>
        </w:tc>
        <w:tc>
          <w:tcPr>
            <w:tcW w:type="dxa" w:w="67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生成AIに入力する文章やファイル(プロンプト)</w:t>
            </w:r>
          </w:p>
        </w:tc>
      </w:tr>
      <w:tr>
        <w:trPr>
          <w:tblHeader w:val="off"/>
        </w:trPr>
        <w:tc>
          <w:tcPr>
            <w:tcW w:type="dxa" w:w="22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出力</w:t>
            </w:r>
          </w:p>
        </w:tc>
        <w:tc>
          <w:tcPr>
            <w:tcW w:type="dxa" w:w="67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生成AIが作ったもの</w:t>
            </w:r>
          </w:p>
        </w:tc>
      </w:tr>
      <w:tr>
        <w:trPr>
          <w:tblHeader w:val="off"/>
        </w:trPr>
        <w:tc>
          <w:tcPr>
            <w:tcW w:type="dxa" w:w="22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学習への利用</w:t>
            </w:r>
          </w:p>
        </w:tc>
        <w:tc>
          <w:tcPr>
            <w:tcW w:type="dxa" w:w="67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入力した内容を、サービスを提供する会社がAIの改良に使うこと</w:t>
            </w:r>
          </w:p>
        </w:tc>
      </w:tr>
    </w:tbl>
    <w:p/>
    <w:p>
      <w:pPr>
        <w:pStyle w:val="Heading1"/>
      </w:pPr>
      <w:r>
        <w:rPr>
          <w:rFonts w:ascii="游ゴシック" w:eastAsia="游ゴシック" w:hAnsi="游ゴシック"/>
        </w:rPr>
        <w:t xml:space="preserve">第4条 使ってよいサービス</w:t>
      </w:r>
    </w:p>
    <w:p>
      <w:pPr>
        <w:pStyle w:val="ListParagraph"/>
        <w:numPr>
          <w:ilvl w:val="0"/>
          <w:numId w:val="3"/>
        </w:numPr>
      </w:pPr>
      <w:r>
        <w:rPr>
          <w:rFonts w:ascii="游ゴシック" w:eastAsia="游ゴシック" w:hAnsi="游ゴシック"/>
        </w:rPr>
        <w:t xml:space="preserve">業務では、別表1で会社が認めたサービスとプランだけを使う。</w:t>
      </w:r>
    </w:p>
    <w:p>
      <w:pPr>
        <w:pStyle w:val="ListParagraph"/>
        <w:numPr>
          <w:ilvl w:val="0"/>
          <w:numId w:val="3"/>
        </w:numPr>
      </w:pPr>
      <w:r>
        <w:rPr>
          <w:rFonts w:ascii="游ゴシック" w:eastAsia="游ゴシック" w:hAnsi="游ゴシック"/>
        </w:rPr>
        <w:t xml:space="preserve">個人で契約したアカウントや無料版を業務に使ってはならない。ただし、別表1で認めたものは除く。</w:t>
      </w:r>
    </w:p>
    <w:p>
      <w:pPr>
        <w:pStyle w:val="ListParagraph"/>
        <w:numPr>
          <w:ilvl w:val="0"/>
          <w:numId w:val="3"/>
        </w:numPr>
      </w:pPr>
      <w:r>
        <w:rPr>
          <w:rFonts w:ascii="游ゴシック" w:eastAsia="游ゴシック" w:hAnsi="游ゴシック"/>
        </w:rPr>
        <w:t xml:space="preserve">別表1にないサービスを使いたいときは、【情報システム担当】に申請し、許可を得る。</w:t>
      </w:r>
    </w:p>
    <w:p>
      <w:pPr>
        <w:pStyle w:val="ListParagraph"/>
        <w:numPr>
          <w:ilvl w:val="0"/>
          <w:numId w:val="3"/>
        </w:numPr>
      </w:pPr>
      <w:r>
        <w:rPr>
          <w:rFonts w:ascii="游ゴシック" w:eastAsia="游ゴシック" w:hAnsi="游ゴシック"/>
        </w:rPr>
        <w:t xml:space="preserve">【情報システム担当】は、入力した内容が学習に使われない契約や設定になっているかを、契約したときと見直しのときに確かめる。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第5条 入力してよい情報</w:t>
      </w:r>
    </w:p>
    <w:p>
      <w:pPr>
        <w:pStyle w:val="ListParagraph"/>
        <w:numPr>
          <w:ilvl w:val="0"/>
          <w:numId w:val="4"/>
        </w:numPr>
      </w:pPr>
      <w:r>
        <w:rPr>
          <w:rFonts w:ascii="游ゴシック" w:eastAsia="游ゴシック" w:hAnsi="游ゴシック"/>
        </w:rPr>
        <w:t xml:space="preserve">情報は緑・黄・赤の3つに分け、別表2の区分に従って入力する。</w:t>
      </w:r>
    </w:p>
    <w:p>
      <w:pPr>
        <w:pStyle w:val="ListParagraph"/>
        <w:numPr>
          <w:ilvl w:val="0"/>
          <w:numId w:val="4"/>
        </w:numPr>
      </w:pPr>
      <w:r>
        <w:rPr>
          <w:rFonts w:ascii="游ゴシック" w:eastAsia="游ゴシック" w:hAnsi="游ゴシック"/>
        </w:rPr>
        <w:t xml:space="preserve">赤の情報は、どのサービスにも入力してはならない。</w:t>
      </w:r>
    </w:p>
    <w:p>
      <w:pPr>
        <w:pStyle w:val="ListParagraph"/>
        <w:numPr>
          <w:ilvl w:val="0"/>
          <w:numId w:val="4"/>
        </w:numPr>
      </w:pPr>
      <w:r>
        <w:rPr>
          <w:rFonts w:ascii="游ゴシック" w:eastAsia="游ゴシック" w:hAnsi="游ゴシック"/>
        </w:rPr>
        <w:t xml:space="preserve">取引先から秘密として受け取った情報は、契約で第三者への開示が禁じられていることがあるため、赤として扱う。</w:t>
      </w:r>
    </w:p>
    <w:p>
      <w:pPr>
        <w:pStyle w:val="ListParagraph"/>
        <w:numPr>
          <w:ilvl w:val="0"/>
          <w:numId w:val="4"/>
        </w:numPr>
      </w:pPr>
      <w:r>
        <w:rPr>
          <w:rFonts w:ascii="游ゴシック" w:eastAsia="游ゴシック" w:hAnsi="游ゴシック"/>
        </w:rPr>
        <w:t xml:space="preserve">どの区分か迷ったときは赤として扱い、【情報システム担当】に相談する。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第6条 出力の確認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生成AIの出力には、事実と異なる内容が含まれることがある。利用者は次を守る。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数字、日付、人名、社名、法令、出典は、元の資料で確かめる。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社外に出す文書や資料は、AIを使ったかどうかに関係なく、作成者が内容に責任を持つ。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AIが書いたプログラムや表計算の式は、人が読んで動作を確かめてから使う。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採用、評価、契約、お客さまへの回答などの重要な判断を、AIの出力だけで決めない。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第7条 著作権と公表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他人の作品名、キャラクター名、作家名、実在の人物名を指示文に入れて、似たものを作らせない。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社外に出す画像や文章は、既存の作品に似ていないかを、画像検索やインターネット検索で確かめる。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社外に出したものは、使ったサービス、日付、指示文を【保存場所】に残す。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AIを使ったことを表示するかどうかは、【広報担当】が決めた方針に従う。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第8条 禁止する使い方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法令や公序良俗に反する目的での利用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他人へのなりすまし、実在の人物の顔や声をまねた画像・音声を本人の許可なく作ること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差別や誹謗中傷にあたる内容を作ること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会社のアカウントのパスワードや認証の鍵を生成AIに渡すこと、生成AIに社内のシステムを操作させること。ただし、【情報システム担当】が認めた場合は除く。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サービスの規約で禁止されている使い方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第9条 相談と報告</w:t>
      </w:r>
    </w:p>
    <w:p>
      <w:pPr>
        <w:pStyle w:val="ListParagraph"/>
        <w:numPr>
          <w:ilvl w:val="0"/>
          <w:numId w:val="5"/>
        </w:numPr>
      </w:pPr>
      <w:r>
        <w:rPr>
          <w:rFonts w:ascii="游ゴシック" w:eastAsia="游ゴシック" w:hAnsi="游ゴシック"/>
        </w:rPr>
        <w:t xml:space="preserve">使い方に迷ったときは、【情報システム担当】(窓口: 【内線・チャットの宛先】)に相談する。</w:t>
      </w:r>
    </w:p>
    <w:p>
      <w:pPr>
        <w:pStyle w:val="ListParagraph"/>
        <w:numPr>
          <w:ilvl w:val="0"/>
          <w:numId w:val="5"/>
        </w:numPr>
      </w:pPr>
      <w:r>
        <w:rPr>
          <w:rFonts w:ascii="游ゴシック" w:eastAsia="游ゴシック" w:hAnsi="游ゴシック"/>
        </w:rPr>
        <w:t xml:space="preserve">赤の情報を入力してしまったとき、出力を使って問題が起きたとき、または起きそうなときは、すぐに報告する。</w:t>
      </w:r>
    </w:p>
    <w:p>
      <w:pPr>
        <w:pStyle w:val="ListParagraph"/>
        <w:numPr>
          <w:ilvl w:val="0"/>
          <w:numId w:val="5"/>
        </w:numPr>
      </w:pPr>
      <w:r>
        <w:rPr>
          <w:rFonts w:ascii="游ゴシック" w:eastAsia="游ゴシック" w:hAnsi="游ゴシック"/>
        </w:rPr>
        <w:t xml:space="preserve">会社は、報告したことを理由に、報告した人を不利に扱わない。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第10条 教育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【情報システム担当】は、利用者に年1回以上、このガイドラインの説明を行う。新しく使い始める人には、使い始める前に説明する。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第11条 違反したとき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このガイドラインに違反したときは、就業規則に従って対応する。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第12条 見直し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このガイドラインと別表は、【毎年◯月と◯月】に見直す。サービスの規約や機能が大きく変わったときは、その都度見直す。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附則 このガイドラインは、【2026年◯月◯日】から施行する。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別表1 会社が認める生成AIサービス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80"/>
        <w:gridCol w:w="1170"/>
        <w:gridCol w:w="2070"/>
        <w:gridCol w:w="1440"/>
        <w:gridCol w:w="1170"/>
        <w:gridCol w:w="1170"/>
      </w:tblGrid>
      <w:tr>
        <w:trPr>
          <w:tblHeader/>
        </w:trPr>
        <w:tc>
          <w:tcPr>
            <w:tcW w:type="dxa" w:w="19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サービスとプラン</w:t>
            </w:r>
          </w:p>
        </w:tc>
        <w:tc>
          <w:tcPr>
            <w:tcW w:type="dxa" w:w="117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使ってよい人</w:t>
            </w:r>
          </w:p>
        </w:tc>
        <w:tc>
          <w:tcPr>
            <w:tcW w:type="dxa" w:w="207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用途</w:t>
            </w:r>
          </w:p>
        </w:tc>
        <w:tc>
          <w:tcPr>
            <w:tcW w:type="dxa" w:w="14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入力できる区分</w:t>
            </w:r>
          </w:p>
        </w:tc>
        <w:tc>
          <w:tcPr>
            <w:tcW w:type="dxa" w:w="117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学習への利用</w:t>
            </w:r>
          </w:p>
        </w:tc>
        <w:tc>
          <w:tcPr>
            <w:tcW w:type="dxa" w:w="117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管理者</w:t>
            </w:r>
          </w:p>
        </w:tc>
      </w:tr>
      <w:tr>
        <w:trPr>
          <w:tblHeader w:val="off"/>
        </w:trPr>
        <w:tc>
          <w:tcPr>
            <w:tcW w:type="dxa" w:w="19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【◯◯(法人向けプラン)】</w:t>
            </w:r>
          </w:p>
        </w:tc>
        <w:tc>
          <w:tcPr>
            <w:tcW w:type="dxa" w:w="117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全員</w:t>
            </w:r>
          </w:p>
        </w:tc>
        <w:tc>
          <w:tcPr>
            <w:tcW w:type="dxa" w:w="207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文章の下書き、要約、翻訳、表計算の式</w:t>
            </w:r>
          </w:p>
        </w:tc>
        <w:tc>
          <w:tcPr>
            <w:tcW w:type="dxa" w:w="14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緑・黄</w:t>
            </w:r>
          </w:p>
        </w:tc>
        <w:tc>
          <w:tcPr>
            <w:tcW w:type="dxa" w:w="117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使われない設定</w:t>
            </w:r>
          </w:p>
        </w:tc>
        <w:tc>
          <w:tcPr>
            <w:tcW w:type="dxa" w:w="117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【情報システム担当】</w:t>
            </w:r>
          </w:p>
        </w:tc>
      </w:tr>
      <w:tr>
        <w:trPr>
          <w:tblHeader w:val="off"/>
        </w:trPr>
        <w:tc>
          <w:tcPr>
            <w:tcW w:type="dxa" w:w="19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【◯◯(会議ソフトの要約機能)】</w:t>
            </w:r>
          </w:p>
        </w:tc>
        <w:tc>
          <w:tcPr>
            <w:tcW w:type="dxa" w:w="117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【全員】</w:t>
            </w:r>
          </w:p>
        </w:tc>
        <w:tc>
          <w:tcPr>
            <w:tcW w:type="dxa" w:w="207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議事録の下書き</w:t>
            </w:r>
          </w:p>
        </w:tc>
        <w:tc>
          <w:tcPr>
            <w:tcW w:type="dxa" w:w="14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緑・黄</w:t>
            </w:r>
          </w:p>
        </w:tc>
        <w:tc>
          <w:tcPr>
            <w:tcW w:type="dxa" w:w="117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使われない設定</w:t>
            </w:r>
          </w:p>
        </w:tc>
        <w:tc>
          <w:tcPr>
            <w:tcW w:type="dxa" w:w="117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【情報システム担当】</w:t>
            </w:r>
          </w:p>
        </w:tc>
      </w:tr>
      <w:tr>
        <w:trPr>
          <w:tblHeader w:val="off"/>
        </w:trPr>
        <w:tc>
          <w:tcPr>
            <w:tcW w:type="dxa" w:w="19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【◯◯(プログラムの補助)】</w:t>
            </w:r>
          </w:p>
        </w:tc>
        <w:tc>
          <w:tcPr>
            <w:tcW w:type="dxa" w:w="117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【開発担当】</w:t>
            </w:r>
          </w:p>
        </w:tc>
        <w:tc>
          <w:tcPr>
            <w:tcW w:type="dxa" w:w="207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プログラムの補助</w:t>
            </w:r>
          </w:p>
        </w:tc>
        <w:tc>
          <w:tcPr>
            <w:tcW w:type="dxa" w:w="14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緑・黄(鍵やパスワードは入れない)</w:t>
            </w:r>
          </w:p>
        </w:tc>
        <w:tc>
          <w:tcPr>
            <w:tcW w:type="dxa" w:w="117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使われない設定</w:t>
            </w:r>
          </w:p>
        </w:tc>
        <w:tc>
          <w:tcPr>
            <w:tcW w:type="dxa" w:w="117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【情報システム担当】</w:t>
            </w:r>
          </w:p>
        </w:tc>
      </w:tr>
    </w:tbl>
    <w:p/>
    <w:p>
      <w:pPr>
        <w:pStyle w:val="Heading1"/>
      </w:pPr>
      <w:r>
        <w:rPr>
          <w:rFonts w:ascii="游ゴシック" w:eastAsia="游ゴシック" w:hAnsi="游ゴシック"/>
        </w:rPr>
        <w:t xml:space="preserve">別表2 入力してよい情報の区分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5040"/>
        <w:gridCol w:w="2520"/>
      </w:tblGrid>
      <w:tr>
        <w:trPr>
          <w:tblHeader/>
        </w:trPr>
        <w:tc>
          <w:tcPr>
            <w:tcW w:type="dxa" w:w="14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区分</w:t>
            </w:r>
          </w:p>
        </w:tc>
        <w:tc>
          <w:tcPr>
            <w:tcW w:type="dxa" w:w="50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例</w:t>
            </w:r>
          </w:p>
        </w:tc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入れてよい先</w:t>
            </w:r>
          </w:p>
        </w:tc>
      </w:tr>
      <w:tr>
        <w:trPr>
          <w:tblHeader w:val="off"/>
        </w:trPr>
        <w:tc>
          <w:tcPr>
            <w:tcW w:type="dxa" w:w="14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緑(入れてよい)</w:t>
            </w:r>
          </w:p>
        </w:tc>
        <w:tc>
          <w:tcPr>
            <w:tcW w:type="dxa" w:w="50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公開済みの情報、一般的な文章の下書き、公開されている技術の質問</w:t>
            </w:r>
          </w:p>
        </w:tc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別表1のサービス</w:t>
            </w:r>
          </w:p>
        </w:tc>
      </w:tr>
      <w:tr>
        <w:trPr>
          <w:tblHeader w:val="off"/>
        </w:trPr>
        <w:tc>
          <w:tcPr>
            <w:tcW w:type="dxa" w:w="14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黄(条件つき)</w:t>
            </w:r>
          </w:p>
        </w:tc>
        <w:tc>
          <w:tcPr>
            <w:tcW w:type="dxa" w:w="50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社内向けの資料、議事録、未公開の企画書。個人名や取引先名は伏せる</w:t>
            </w:r>
          </w:p>
        </w:tc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別表1で黄を認めたサービスだけ</w:t>
            </w:r>
          </w:p>
        </w:tc>
      </w:tr>
      <w:tr>
        <w:trPr>
          <w:tblHeader w:val="off"/>
        </w:trPr>
        <w:tc>
          <w:tcPr>
            <w:tcW w:type="dxa" w:w="14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赤(入れない)</w:t>
            </w:r>
          </w:p>
        </w:tc>
        <w:tc>
          <w:tcPr>
            <w:tcW w:type="dxa" w:w="50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お客さまや社員の個人情報、取引先から秘密として受け取った情報、パスワードや認証の鍵、未公表の決算・人事・提携の情報</w:t>
            </w:r>
          </w:p>
        </w:tc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どのサービスにも入れない。例外は【情報システム担当】に相談</w:t>
            </w:r>
          </w:p>
        </w:tc>
      </w:tr>
    </w:tbl>
    <w:p/>
    <w:p>
      <w:pPr>
        <w:pBdr>
          <w:left w:val="single" w:color="2352DC" w:sz="18" w:space="6"/>
        </w:pBdr>
        <w:shd w:fill="EEF4FF" w:color="auto" w:val="clear"/>
        <w:spacing w:after="160" w:before="120"/>
      </w:pPr>
      <w:r>
        <w:rPr>
          <w:rFonts w:ascii="游ゴシック" w:eastAsia="游ゴシック" w:hAnsi="游ゴシック"/>
          <w:sz w:val="20"/>
          <w:szCs w:val="20"/>
        </w:rPr>
        <w:t xml:space="preserve">個人情報は、法人向けプランなら入れてよいとは限りません。利用目的の範囲内か、学習に使われないかを確かめたうえで、会社として認める場合だけ、別表2で扱いを書き足してください。</w:t>
      </w:r>
    </w:p>
    <w:sectPr>
      <w:footerReference w:type="default" r:id="rId6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游ゴシック" w:eastAsia="游ゴシック" w:hAnsi="游ゴシック"/>
        <w:color w:val="8792A8"/>
        <w:sz w:val="15"/>
        <w:szCs w:val="15"/>
      </w:rPr>
      <w:t xml:space="preserve">情シスのミカタ(it-mikata.gameagelayer.com)の無料テンプレ   </w:t>
    </w:r>
    <w:r>
      <w:rPr>
        <w:color w:val="8792A8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・"/>
      <w:lvlJc w:val="left"/>
      <w:pPr>
        <w:ind w:left="42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30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30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eastAsia="游ゴシック" w:hAnsi="游ゴシック"/>
        <w:color w:val="0E1726"/>
        <w:sz w:val="21"/>
        <w:szCs w:val="21"/>
      </w:rPr>
    </w:rPrDefault>
    <w:pPrDefault>
      <w:pPr>
        <w:spacing w:line="3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b/>
      <w:bCs/>
      <w:color w:val="1D42BB"/>
      <w:sz w:val="25"/>
      <w:szCs w:val="25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0E1726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生成AI利用ガイドライン</dc:title>
  <dc:creator>情シスのミカタ</dc:creator>
  <cp:lastModifiedBy>Un-named</cp:lastModifiedBy>
  <cp:revision>1</cp:revision>
  <dcterms:created xsi:type="dcterms:W3CDTF">2026-10-03T11:41:17.784Z</dcterms:created>
  <dcterms:modified xsi:type="dcterms:W3CDTF">2026-10-03T11:41:17.784Z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